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7F10" w14:textId="77777777" w:rsidR="00C4798E" w:rsidRPr="00C4798E" w:rsidRDefault="00C4798E" w:rsidP="00C4798E">
      <w:pPr>
        <w:pStyle w:val="Ttulo1"/>
        <w:spacing w:line="276" w:lineRule="auto"/>
        <w:jc w:val="right"/>
        <w:rPr>
          <w:rFonts w:ascii="Segoe UI Historic" w:eastAsia="Hiragino Sans GB W3" w:hAnsi="Segoe UI Historic" w:cs="Segoe UI Historic"/>
          <w:color w:val="000000" w:themeColor="text1"/>
          <w:sz w:val="21"/>
          <w:szCs w:val="21"/>
        </w:rPr>
      </w:pPr>
      <w:r w:rsidRPr="00C4798E">
        <w:rPr>
          <w:rFonts w:ascii="Segoe UI Historic" w:eastAsia="Hiragino Sans GB W3" w:hAnsi="Segoe UI Historic" w:cs="Segoe UI Historic"/>
          <w:color w:val="000000" w:themeColor="text1"/>
          <w:sz w:val="21"/>
          <w:szCs w:val="21"/>
        </w:rPr>
        <w:t xml:space="preserve">SUBSECRETARÍA DE DESARROLLLO URBANO Y VIVIENDA </w:t>
      </w:r>
    </w:p>
    <w:p w14:paraId="1A1B6580" w14:textId="77777777" w:rsidR="00C4798E" w:rsidRPr="00C4798E" w:rsidRDefault="00C4798E" w:rsidP="00C4798E">
      <w:pPr>
        <w:jc w:val="right"/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</w:pP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>DIRECCIÓN GENERAL DE DESARROLLO URBANO, SUELO Y VIVIENDA</w:t>
      </w:r>
    </w:p>
    <w:p w14:paraId="2811AD6D" w14:textId="77777777" w:rsidR="00C4798E" w:rsidRPr="00C4798E" w:rsidRDefault="00C4798E" w:rsidP="00C4798E">
      <w:pPr>
        <w:jc w:val="right"/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</w:pP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 xml:space="preserve">DIRECCIÓN DE OPERACIÓN TERRITORIAL </w:t>
      </w:r>
    </w:p>
    <w:p w14:paraId="493704D7" w14:textId="77777777" w:rsidR="00C4798E" w:rsidRPr="00C4798E" w:rsidRDefault="00C4798E" w:rsidP="00C4798E">
      <w:pPr>
        <w:jc w:val="right"/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</w:pPr>
    </w:p>
    <w:p w14:paraId="5EC18891" w14:textId="77777777" w:rsidR="00C4798E" w:rsidRPr="00C4798E" w:rsidRDefault="00C4798E" w:rsidP="00C4798E">
      <w:pPr>
        <w:jc w:val="right"/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</w:pP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 xml:space="preserve">Ciudad de México, a </w:t>
      </w:r>
      <w:r w:rsidR="00DC709F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>5</w:t>
      </w:r>
      <w:r w:rsidR="007C4069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 xml:space="preserve"> </w:t>
      </w: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 xml:space="preserve">de </w:t>
      </w:r>
      <w:r w:rsidR="00876150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>mayo</w:t>
      </w: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 xml:space="preserve"> de 2020</w:t>
      </w:r>
    </w:p>
    <w:p w14:paraId="41A1020F" w14:textId="77777777" w:rsidR="00C4798E" w:rsidRPr="00C4798E" w:rsidRDefault="00C4798E" w:rsidP="00C4798E">
      <w:pPr>
        <w:jc w:val="right"/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</w:pPr>
    </w:p>
    <w:p w14:paraId="58D8DC0E" w14:textId="77777777" w:rsidR="00C4798E" w:rsidRPr="00C4798E" w:rsidRDefault="00C4798E" w:rsidP="00C4798E">
      <w:pPr>
        <w:jc w:val="right"/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</w:pP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>Tarjeta Informativa DGDUS y V-DG-DOT-0</w:t>
      </w:r>
      <w:r w:rsidR="00DC709F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>10</w:t>
      </w:r>
      <w:r w:rsidRPr="00C4798E">
        <w:rPr>
          <w:rFonts w:ascii="Segoe UI Historic" w:eastAsia="Hiragino Sans GB W3" w:hAnsi="Segoe UI Historic" w:cs="Segoe UI Historic"/>
          <w:sz w:val="22"/>
          <w:szCs w:val="22"/>
          <w:lang w:val="es-US" w:eastAsia="en-US"/>
        </w:rPr>
        <w:t>/2020</w:t>
      </w:r>
    </w:p>
    <w:p w14:paraId="127EE06D" w14:textId="77777777" w:rsidR="00C4798E" w:rsidRPr="00B40DE6" w:rsidRDefault="00C4798E" w:rsidP="00860B3A">
      <w:pPr>
        <w:pStyle w:val="Ttulo1"/>
        <w:spacing w:line="276" w:lineRule="auto"/>
        <w:rPr>
          <w:rFonts w:ascii="Segoe UI Historic" w:eastAsia="Hiragino Sans GB W3" w:hAnsi="Segoe UI Historic" w:cs="Segoe UI Historic"/>
          <w:b/>
          <w:bCs/>
          <w:color w:val="000000" w:themeColor="text1"/>
          <w:sz w:val="22"/>
          <w:szCs w:val="22"/>
        </w:rPr>
      </w:pPr>
      <w:r w:rsidRPr="00B40DE6">
        <w:rPr>
          <w:rFonts w:ascii="Segoe UI Historic" w:eastAsia="Hiragino Sans GB W3" w:hAnsi="Segoe UI Historic" w:cs="Segoe UI Historic"/>
          <w:b/>
          <w:bCs/>
          <w:color w:val="000000" w:themeColor="text1"/>
          <w:sz w:val="22"/>
          <w:szCs w:val="22"/>
        </w:rPr>
        <w:t>PARA:</w:t>
      </w:r>
      <w:r w:rsidRPr="00B40DE6">
        <w:rPr>
          <w:rFonts w:ascii="Segoe UI Historic" w:eastAsia="Hiragino Sans GB W3" w:hAnsi="Segoe UI Historic" w:cs="Segoe UI Historic"/>
          <w:b/>
          <w:bCs/>
          <w:color w:val="000000" w:themeColor="text1"/>
          <w:sz w:val="22"/>
          <w:szCs w:val="22"/>
        </w:rPr>
        <w:tab/>
        <w:t>Carina Arvizu Machado</w:t>
      </w:r>
    </w:p>
    <w:p w14:paraId="2874792F" w14:textId="77777777" w:rsidR="00C4798E" w:rsidRDefault="00C4798E" w:rsidP="00C4798E">
      <w:pPr>
        <w:ind w:firstLine="708"/>
        <w:rPr>
          <w:lang w:val="es-US" w:eastAsia="en-US"/>
        </w:rPr>
      </w:pPr>
      <w:r>
        <w:rPr>
          <w:lang w:val="es-US" w:eastAsia="en-US"/>
        </w:rPr>
        <w:t>Subsecretaria de Desarrollo Urbano y Vivienda</w:t>
      </w:r>
    </w:p>
    <w:p w14:paraId="1759D3C6" w14:textId="77777777" w:rsidR="00C4798E" w:rsidRDefault="00C4798E" w:rsidP="00C4798E">
      <w:pPr>
        <w:rPr>
          <w:lang w:val="es-US" w:eastAsia="en-US"/>
        </w:rPr>
      </w:pPr>
    </w:p>
    <w:p w14:paraId="6C1E0248" w14:textId="77777777" w:rsidR="00C4798E" w:rsidRPr="00B40DE6" w:rsidRDefault="00C4798E" w:rsidP="00C4798E">
      <w:pPr>
        <w:rPr>
          <w:b/>
          <w:bCs/>
          <w:lang w:val="es-US" w:eastAsia="en-US"/>
        </w:rPr>
      </w:pPr>
      <w:r w:rsidRPr="00B40DE6">
        <w:rPr>
          <w:b/>
          <w:bCs/>
          <w:lang w:val="es-US" w:eastAsia="en-US"/>
        </w:rPr>
        <w:t xml:space="preserve">DE: </w:t>
      </w:r>
      <w:r w:rsidRPr="00B40DE6">
        <w:rPr>
          <w:b/>
          <w:bCs/>
          <w:lang w:val="es-US" w:eastAsia="en-US"/>
        </w:rPr>
        <w:tab/>
        <w:t>Anjanette Deyanira Zebadúa Soto</w:t>
      </w:r>
    </w:p>
    <w:p w14:paraId="564A7C91" w14:textId="77777777" w:rsidR="00C4798E" w:rsidRPr="00C4798E" w:rsidRDefault="00C4798E" w:rsidP="00C4798E">
      <w:pPr>
        <w:rPr>
          <w:lang w:val="es-US" w:eastAsia="en-US"/>
        </w:rPr>
      </w:pPr>
      <w:r>
        <w:rPr>
          <w:lang w:val="es-US" w:eastAsia="en-US"/>
        </w:rPr>
        <w:tab/>
        <w:t>Directora de Operación Territorial</w:t>
      </w:r>
    </w:p>
    <w:p w14:paraId="02999C9F" w14:textId="77777777" w:rsidR="00860B3A" w:rsidRPr="00990670" w:rsidRDefault="00C4798E" w:rsidP="00990670">
      <w:pPr>
        <w:pStyle w:val="Ttulo1"/>
        <w:spacing w:line="276" w:lineRule="auto"/>
        <w:jc w:val="both"/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</w:pPr>
      <w:r w:rsidRPr="00C4798E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 xml:space="preserve">ASUNTO: </w:t>
      </w:r>
      <w:r w:rsidR="000B44CE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 xml:space="preserve">Tarjeta informativa </w:t>
      </w:r>
      <w:r w:rsidR="00416180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 xml:space="preserve">de la conferencia de prensa del </w:t>
      </w:r>
      <w:r w:rsidR="00DC709F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>5</w:t>
      </w:r>
      <w:r w:rsidR="00416180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 xml:space="preserve"> de </w:t>
      </w:r>
      <w:r w:rsidR="003E42D7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>mayo</w:t>
      </w:r>
      <w:r w:rsidR="00416180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 xml:space="preserve"> de 2020</w:t>
      </w:r>
      <w:r w:rsidR="00817764">
        <w:rPr>
          <w:rFonts w:ascii="Segoe UI Historic" w:eastAsia="Hiragino Sans GB W3" w:hAnsi="Segoe UI Historic" w:cs="Segoe UI Historic"/>
          <w:color w:val="000000" w:themeColor="text1"/>
          <w:sz w:val="22"/>
          <w:szCs w:val="22"/>
        </w:rPr>
        <w:t>.</w:t>
      </w:r>
    </w:p>
    <w:p w14:paraId="5A1A4059" w14:textId="77777777" w:rsidR="008812CD" w:rsidRPr="00817764" w:rsidRDefault="008812CD" w:rsidP="00860B3A">
      <w:pPr>
        <w:rPr>
          <w:rFonts w:ascii="Segoe UI Historic" w:eastAsia="Hiragino Sans GB W3" w:hAnsi="Segoe UI Historic" w:cs="Segoe UI Historic"/>
          <w:lang w:eastAsia="en-US"/>
        </w:rPr>
      </w:pPr>
    </w:p>
    <w:p w14:paraId="3C238634" w14:textId="77777777" w:rsidR="00960F64" w:rsidRDefault="000B44CE" w:rsidP="00416180">
      <w:p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El </w:t>
      </w:r>
      <w:r w:rsidR="00DC709F">
        <w:rPr>
          <w:rFonts w:ascii="Segoe UI Historic" w:eastAsia="Hiragino Sans GB W3" w:hAnsi="Segoe UI Historic" w:cs="Segoe UI Historic"/>
          <w:lang w:eastAsia="en-US"/>
        </w:rPr>
        <w:t xml:space="preserve">martes 5 </w:t>
      </w:r>
      <w:r w:rsidR="00876150">
        <w:rPr>
          <w:rFonts w:ascii="Segoe UI Historic" w:eastAsia="Hiragino Sans GB W3" w:hAnsi="Segoe UI Historic" w:cs="Segoe UI Historic"/>
          <w:lang w:eastAsia="en-US"/>
        </w:rPr>
        <w:t xml:space="preserve">de mayo </w:t>
      </w:r>
      <w:r>
        <w:rPr>
          <w:rFonts w:ascii="Segoe UI Historic" w:eastAsia="Hiragino Sans GB W3" w:hAnsi="Segoe UI Historic" w:cs="Segoe UI Historic"/>
          <w:lang w:eastAsia="en-US"/>
        </w:rPr>
        <w:t xml:space="preserve">de 2020 se reunieron en la conferencia de prensa </w:t>
      </w:r>
      <w:r w:rsidR="00960F64">
        <w:rPr>
          <w:rFonts w:ascii="Segoe UI Historic" w:eastAsia="Hiragino Sans GB W3" w:hAnsi="Segoe UI Historic" w:cs="Segoe UI Historic"/>
          <w:lang w:eastAsia="en-US"/>
        </w:rPr>
        <w:t>l</w:t>
      </w:r>
      <w:r w:rsidR="00876150">
        <w:rPr>
          <w:rFonts w:ascii="Segoe UI Historic" w:eastAsia="Hiragino Sans GB W3" w:hAnsi="Segoe UI Historic" w:cs="Segoe UI Historic"/>
          <w:lang w:eastAsia="en-US"/>
        </w:rPr>
        <w:t xml:space="preserve">a </w:t>
      </w:r>
      <w:r w:rsidR="00960F64">
        <w:rPr>
          <w:rFonts w:ascii="Segoe UI Historic" w:eastAsia="Hiragino Sans GB W3" w:hAnsi="Segoe UI Historic" w:cs="Segoe UI Historic"/>
          <w:lang w:eastAsia="en-US"/>
        </w:rPr>
        <w:t>Secretari</w:t>
      </w:r>
      <w:r w:rsidR="00876150">
        <w:rPr>
          <w:rFonts w:ascii="Segoe UI Historic" w:eastAsia="Hiragino Sans GB W3" w:hAnsi="Segoe UI Historic" w:cs="Segoe UI Historic"/>
          <w:lang w:eastAsia="en-US"/>
        </w:rPr>
        <w:t>a</w:t>
      </w:r>
      <w:r w:rsidR="00960F64">
        <w:rPr>
          <w:rFonts w:ascii="Segoe UI Historic" w:eastAsia="Hiragino Sans GB W3" w:hAnsi="Segoe UI Historic" w:cs="Segoe UI Historic"/>
          <w:lang w:eastAsia="en-US"/>
        </w:rPr>
        <w:t xml:space="preserve"> de</w:t>
      </w:r>
      <w:r>
        <w:rPr>
          <w:rFonts w:ascii="Segoe UI Historic" w:eastAsia="Hiragino Sans GB W3" w:hAnsi="Segoe UI Historic" w:cs="Segoe UI Historic"/>
          <w:lang w:eastAsia="en-US"/>
        </w:rPr>
        <w:t xml:space="preserve"> Economía, Graciela Márque</w:t>
      </w:r>
      <w:r w:rsidR="00960F64">
        <w:rPr>
          <w:rFonts w:ascii="Segoe UI Historic" w:eastAsia="Hiragino Sans GB W3" w:hAnsi="Segoe UI Historic" w:cs="Segoe UI Historic"/>
          <w:lang w:eastAsia="en-US"/>
        </w:rPr>
        <w:t xml:space="preserve">z Colín, </w:t>
      </w:r>
      <w:r>
        <w:rPr>
          <w:rFonts w:ascii="Segoe UI Historic" w:eastAsia="Hiragino Sans GB W3" w:hAnsi="Segoe UI Historic" w:cs="Segoe UI Historic"/>
          <w:lang w:eastAsia="en-US"/>
        </w:rPr>
        <w:t>el Director del IMSS, Zoé Robledo</w:t>
      </w:r>
      <w:r w:rsidR="00960F64">
        <w:rPr>
          <w:rFonts w:ascii="Segoe UI Historic" w:eastAsia="Hiragino Sans GB W3" w:hAnsi="Segoe UI Historic" w:cs="Segoe UI Historic"/>
          <w:lang w:eastAsia="en-US"/>
        </w:rPr>
        <w:t xml:space="preserve"> Aburto</w:t>
      </w:r>
      <w:r>
        <w:rPr>
          <w:rFonts w:ascii="Segoe UI Historic" w:eastAsia="Hiragino Sans GB W3" w:hAnsi="Segoe UI Historic" w:cs="Segoe UI Historic"/>
          <w:lang w:eastAsia="en-US"/>
        </w:rPr>
        <w:t>,</w:t>
      </w:r>
      <w:r w:rsidR="00DC709F">
        <w:rPr>
          <w:rFonts w:ascii="Segoe UI Historic" w:eastAsia="Hiragino Sans GB W3" w:hAnsi="Segoe UI Historic" w:cs="Segoe UI Historic"/>
          <w:lang w:eastAsia="en-US"/>
        </w:rPr>
        <w:t xml:space="preserve"> el Secretario de Desarrollo Agrario, Territorial y Urbano, Román Meyer Falcón y el Subsecretario de Ordenamiento Territorial, David Cervantes Peredo.</w:t>
      </w:r>
    </w:p>
    <w:p w14:paraId="39E04AA3" w14:textId="77777777" w:rsidR="007D18D7" w:rsidRDefault="007D18D7" w:rsidP="0040288B">
      <w:pPr>
        <w:jc w:val="both"/>
        <w:rPr>
          <w:rFonts w:ascii="Segoe UI Historic" w:eastAsia="Hiragino Sans GB W3" w:hAnsi="Segoe UI Historic" w:cs="Segoe UI Historic"/>
          <w:lang w:eastAsia="en-US"/>
        </w:rPr>
      </w:pPr>
    </w:p>
    <w:p w14:paraId="6C9C2F92" w14:textId="77777777" w:rsidR="003B04E8" w:rsidRDefault="00DC709F" w:rsidP="00114405">
      <w:p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El Secretario Meyer Falcón recordó que </w:t>
      </w:r>
      <w:r w:rsidR="0087330F">
        <w:rPr>
          <w:rFonts w:ascii="Segoe UI Historic" w:eastAsia="Hiragino Sans GB W3" w:hAnsi="Segoe UI Historic" w:cs="Segoe UI Historic"/>
          <w:lang w:eastAsia="en-US"/>
        </w:rPr>
        <w:t xml:space="preserve">la estrategia de 50 mil intervenciones de vivienda en 68 municipios es un programa centrado en la activación económica, a través de la generación de empleo, infraestructura y </w:t>
      </w:r>
      <w:r w:rsidR="00114405">
        <w:rPr>
          <w:rFonts w:ascii="Segoe UI Historic" w:eastAsia="Hiragino Sans GB W3" w:hAnsi="Segoe UI Historic" w:cs="Segoe UI Historic"/>
          <w:lang w:eastAsia="en-US"/>
        </w:rPr>
        <w:t xml:space="preserve">la construcción de las viviendas, en colonias de altas necesidades. </w:t>
      </w:r>
      <w:r w:rsidR="003B04E8">
        <w:rPr>
          <w:rFonts w:ascii="Segoe UI Historic" w:eastAsia="Hiragino Sans GB W3" w:hAnsi="Segoe UI Historic" w:cs="Segoe UI Historic"/>
          <w:lang w:eastAsia="en-US"/>
        </w:rPr>
        <w:t xml:space="preserve">Recalcó que se trata de un subsidio, no de un crédito. </w:t>
      </w:r>
    </w:p>
    <w:p w14:paraId="3ED9E482" w14:textId="77777777" w:rsidR="0087330F" w:rsidRDefault="00114405" w:rsidP="00114405">
      <w:p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Para explicar el programa a detalle</w:t>
      </w:r>
      <w:r w:rsidR="002F6BAD">
        <w:rPr>
          <w:rFonts w:ascii="Segoe UI Historic" w:eastAsia="Hiragino Sans GB W3" w:hAnsi="Segoe UI Historic" w:cs="Segoe UI Historic"/>
          <w:lang w:eastAsia="en-US"/>
        </w:rPr>
        <w:t xml:space="preserve">, el Secretario Román Meyer </w:t>
      </w:r>
      <w:r>
        <w:rPr>
          <w:rFonts w:ascii="Segoe UI Historic" w:eastAsia="Hiragino Sans GB W3" w:hAnsi="Segoe UI Historic" w:cs="Segoe UI Historic"/>
          <w:lang w:eastAsia="en-US"/>
        </w:rPr>
        <w:t>le dio la palara al subsecretario David Cervantes</w:t>
      </w:r>
      <w:r w:rsidR="002F6BAD">
        <w:rPr>
          <w:rFonts w:ascii="Segoe UI Historic" w:eastAsia="Hiragino Sans GB W3" w:hAnsi="Segoe UI Historic" w:cs="Segoe UI Historic"/>
          <w:lang w:eastAsia="en-US"/>
        </w:rPr>
        <w:t>,</w:t>
      </w:r>
      <w:r>
        <w:rPr>
          <w:rFonts w:ascii="Segoe UI Historic" w:eastAsia="Hiragino Sans GB W3" w:hAnsi="Segoe UI Historic" w:cs="Segoe UI Historic"/>
          <w:lang w:eastAsia="en-US"/>
        </w:rPr>
        <w:t xml:space="preserve"> quien puntualizó que:</w:t>
      </w:r>
    </w:p>
    <w:p w14:paraId="48201B6E" w14:textId="77777777" w:rsidR="001914BA" w:rsidRDefault="001914BA" w:rsidP="001914BA">
      <w:pPr>
        <w:pStyle w:val="Prrafodelista"/>
        <w:ind w:left="1503"/>
        <w:jc w:val="both"/>
        <w:rPr>
          <w:rFonts w:ascii="Segoe UI Historic" w:eastAsia="Hiragino Sans GB W3" w:hAnsi="Segoe UI Historic" w:cs="Segoe UI Historic"/>
          <w:lang w:eastAsia="en-US"/>
        </w:rPr>
      </w:pPr>
    </w:p>
    <w:p w14:paraId="12C91A63" w14:textId="77777777" w:rsidR="009B6D8A" w:rsidRDefault="00114405" w:rsidP="00114405">
      <w:pPr>
        <w:pStyle w:val="Prrafodelista"/>
        <w:numPr>
          <w:ilvl w:val="0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Se trata de un programa extraordinario que se suma a las acciones prioritarias que ya existen.</w:t>
      </w:r>
    </w:p>
    <w:p w14:paraId="4806101F" w14:textId="77777777" w:rsidR="00114405" w:rsidRDefault="00114405" w:rsidP="00114405">
      <w:pPr>
        <w:pStyle w:val="Prrafodelista"/>
        <w:numPr>
          <w:ilvl w:val="0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Las intervenciones se llevarán a cabo en las zonas definidas para la actuación del Programa de Meoramiento Urbano (PMU)</w:t>
      </w:r>
    </w:p>
    <w:p w14:paraId="2BA54C08" w14:textId="77777777" w:rsidR="00114405" w:rsidRDefault="00114405" w:rsidP="00114405">
      <w:pPr>
        <w:pStyle w:val="Prrafodelista"/>
        <w:numPr>
          <w:ilvl w:val="0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Los actores son: </w:t>
      </w:r>
    </w:p>
    <w:p w14:paraId="7F628F6A" w14:textId="77777777" w:rsidR="00114405" w:rsidRDefault="00114405" w:rsidP="00114405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Fonhapo. Aprovechó para precisar que no es CONAVI la reponsable del programa emergente porque ya opera programas prioritarios y FONHAPO no estaba en este momento ocupada en una tarea de esta envergadura.  </w:t>
      </w:r>
    </w:p>
    <w:p w14:paraId="0324E4C6" w14:textId="77777777" w:rsidR="00114405" w:rsidRDefault="00114405" w:rsidP="00114405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lastRenderedPageBreak/>
        <w:t>Secretaría de Bienestar (servidores de la nación en delegaciones territoriales).</w:t>
      </w:r>
    </w:p>
    <w:p w14:paraId="39693ECC" w14:textId="77777777" w:rsidR="00114405" w:rsidRDefault="00114405" w:rsidP="00114405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SEDATU. Desarrollo Territorial</w:t>
      </w:r>
    </w:p>
    <w:p w14:paraId="159ADACD" w14:textId="77777777" w:rsidR="00114405" w:rsidRDefault="00114405" w:rsidP="00114405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Contraloría Social en cada zona donde se lleven a cabo acciones.</w:t>
      </w:r>
    </w:p>
    <w:p w14:paraId="70C8A7E9" w14:textId="77777777" w:rsidR="00114405" w:rsidRDefault="00114405" w:rsidP="00114405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Técnicos, constructores, arquitectos.</w:t>
      </w:r>
    </w:p>
    <w:p w14:paraId="5CDE93BF" w14:textId="77777777" w:rsidR="00114405" w:rsidRDefault="00114405" w:rsidP="00114405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Beneficiarios. Quienes recibirán </w:t>
      </w:r>
      <w:r w:rsidR="003B04E8">
        <w:rPr>
          <w:rFonts w:ascii="Segoe UI Historic" w:eastAsia="Hiragino Sans GB W3" w:hAnsi="Segoe UI Historic" w:cs="Segoe UI Historic"/>
          <w:lang w:eastAsia="en-US"/>
        </w:rPr>
        <w:t>el apoyo directamente. Ellos decidirán que hacer con su dinero, como llevar a cabo su mejoramiento, ampliación o construcción de vivienda. Administrarán sus recursos.</w:t>
      </w:r>
    </w:p>
    <w:p w14:paraId="61D6FB33" w14:textId="77777777" w:rsidR="003B04E8" w:rsidRPr="003B04E8" w:rsidRDefault="003B04E8" w:rsidP="003B04E8">
      <w:pPr>
        <w:ind w:left="1080"/>
        <w:jc w:val="both"/>
        <w:rPr>
          <w:rFonts w:ascii="Segoe UI Historic" w:eastAsia="Hiragino Sans GB W3" w:hAnsi="Segoe UI Historic" w:cs="Segoe UI Historic"/>
          <w:lang w:eastAsia="en-US"/>
        </w:rPr>
      </w:pPr>
    </w:p>
    <w:p w14:paraId="0F6FB430" w14:textId="77777777" w:rsidR="009B6D8A" w:rsidRDefault="003B04E8" w:rsidP="009B6D8A">
      <w:pPr>
        <w:pStyle w:val="Prrafodelista"/>
        <w:numPr>
          <w:ilvl w:val="0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Los tipos, montos y número de acciones por intervención son:</w:t>
      </w:r>
    </w:p>
    <w:p w14:paraId="4B60550D" w14:textId="77777777" w:rsidR="003E42D7" w:rsidRDefault="003B04E8" w:rsidP="003E42D7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Vivienda nueva</w:t>
      </w:r>
      <w:r w:rsidR="003E42D7">
        <w:rPr>
          <w:rFonts w:ascii="Segoe UI Historic" w:eastAsia="Hiragino Sans GB W3" w:hAnsi="Segoe UI Historic" w:cs="Segoe UI Historic"/>
          <w:lang w:eastAsia="en-US"/>
        </w:rPr>
        <w:t>.</w:t>
      </w:r>
      <w:r>
        <w:rPr>
          <w:rFonts w:ascii="Segoe UI Historic" w:eastAsia="Hiragino Sans GB W3" w:hAnsi="Segoe UI Historic" w:cs="Segoe UI Historic"/>
          <w:lang w:eastAsia="en-US"/>
        </w:rPr>
        <w:t xml:space="preserve"> Subsdios de hasta 240 mil pesos. Se realizarán 20 mil acciones. Se dará en dos ministraciones. La segunda hasta después de que se vea el avance en la intervención.</w:t>
      </w:r>
    </w:p>
    <w:p w14:paraId="49ABB5BB" w14:textId="77777777" w:rsidR="003E42D7" w:rsidRDefault="003B04E8" w:rsidP="003E42D7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Ampliación</w:t>
      </w:r>
      <w:r w:rsidR="003E42D7">
        <w:rPr>
          <w:rFonts w:ascii="Segoe UI Historic" w:eastAsia="Hiragino Sans GB W3" w:hAnsi="Segoe UI Historic" w:cs="Segoe UI Historic"/>
          <w:lang w:eastAsia="en-US"/>
        </w:rPr>
        <w:t>.</w:t>
      </w:r>
      <w:r>
        <w:rPr>
          <w:rFonts w:ascii="Segoe UI Historic" w:eastAsia="Hiragino Sans GB W3" w:hAnsi="Segoe UI Historic" w:cs="Segoe UI Historic"/>
          <w:lang w:eastAsia="en-US"/>
        </w:rPr>
        <w:t xml:space="preserve"> Subsidio de hasta 90 mil pesos. Se apoyarán 8 mil 500 acciones. Del mismo modo que los subsidios para vivienda nueva, se entregará en dos ministraciones.</w:t>
      </w:r>
    </w:p>
    <w:p w14:paraId="5B6790E3" w14:textId="77777777" w:rsidR="008952FE" w:rsidRPr="008952FE" w:rsidRDefault="003B04E8" w:rsidP="008952FE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Mejoramiento. Subsidio de hasta 35 mil pesos. Se otorgarán 21 mil 500 subsidios para e</w:t>
      </w:r>
      <w:r w:rsidR="008952FE">
        <w:rPr>
          <w:rFonts w:ascii="Segoe UI Historic" w:eastAsia="Hiragino Sans GB W3" w:hAnsi="Segoe UI Historic" w:cs="Segoe UI Historic"/>
          <w:lang w:eastAsia="en-US"/>
        </w:rPr>
        <w:t>sta modalidad</w:t>
      </w:r>
      <w:r>
        <w:rPr>
          <w:rFonts w:ascii="Segoe UI Historic" w:eastAsia="Hiragino Sans GB W3" w:hAnsi="Segoe UI Historic" w:cs="Segoe UI Historic"/>
          <w:lang w:eastAsia="en-US"/>
        </w:rPr>
        <w:t>.</w:t>
      </w:r>
      <w:r w:rsidR="008952FE">
        <w:rPr>
          <w:rFonts w:ascii="Segoe UI Historic" w:eastAsia="Hiragino Sans GB W3" w:hAnsi="Segoe UI Historic" w:cs="Segoe UI Historic"/>
          <w:lang w:eastAsia="en-US"/>
        </w:rPr>
        <w:t xml:space="preserve"> Se entrega en una sola ministración.</w:t>
      </w:r>
    </w:p>
    <w:p w14:paraId="2F2E3905" w14:textId="77777777" w:rsidR="003E42D7" w:rsidRDefault="003E42D7" w:rsidP="003E42D7">
      <w:pPr>
        <w:pStyle w:val="Prrafodelista"/>
        <w:ind w:left="1440"/>
        <w:jc w:val="both"/>
        <w:rPr>
          <w:rFonts w:ascii="Segoe UI Historic" w:eastAsia="Hiragino Sans GB W3" w:hAnsi="Segoe UI Historic" w:cs="Segoe UI Historic"/>
          <w:lang w:eastAsia="en-US"/>
        </w:rPr>
      </w:pPr>
    </w:p>
    <w:p w14:paraId="1B4E4584" w14:textId="77777777" w:rsidR="003E42D7" w:rsidRDefault="008952FE" w:rsidP="009B6D8A">
      <w:pPr>
        <w:pStyle w:val="Prrafodelista"/>
        <w:numPr>
          <w:ilvl w:val="0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Para identificar la demanda </w:t>
      </w:r>
      <w:r w:rsidR="00FB0858">
        <w:rPr>
          <w:rFonts w:ascii="Segoe UI Historic" w:eastAsia="Hiragino Sans GB W3" w:hAnsi="Segoe UI Historic" w:cs="Segoe UI Historic"/>
          <w:lang w:eastAsia="en-US"/>
        </w:rPr>
        <w:t>se utilizará la información proporcionada por el Censo de Bienestar, las solicitudes de ciudadanos a través de los mecaismos de atención ciudadana, CONAVI, FONHAPO.</w:t>
      </w:r>
    </w:p>
    <w:p w14:paraId="24CDA47C" w14:textId="77777777" w:rsidR="00FB0858" w:rsidRDefault="00FB0858" w:rsidP="00FB0858">
      <w:pPr>
        <w:pStyle w:val="Prrafodelista"/>
        <w:ind w:left="783"/>
        <w:jc w:val="both"/>
        <w:rPr>
          <w:rFonts w:ascii="Segoe UI Historic" w:eastAsia="Hiragino Sans GB W3" w:hAnsi="Segoe UI Historic" w:cs="Segoe UI Historic"/>
          <w:lang w:eastAsia="en-US"/>
        </w:rPr>
      </w:pPr>
    </w:p>
    <w:p w14:paraId="002BE020" w14:textId="77777777" w:rsidR="008952FE" w:rsidRDefault="008952FE" w:rsidP="009B6D8A">
      <w:pPr>
        <w:pStyle w:val="Prrafodelista"/>
        <w:numPr>
          <w:ilvl w:val="0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El mecanismo de operación será:</w:t>
      </w:r>
    </w:p>
    <w:p w14:paraId="2E41CC25" w14:textId="77777777" w:rsidR="008952FE" w:rsidRDefault="008952FE" w:rsidP="008952FE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Entregar una tarjeta al beneficiario. La TESOFE realizará los depósitos a la cuenta del beneficiario. </w:t>
      </w:r>
    </w:p>
    <w:p w14:paraId="2D417AD7" w14:textId="77777777" w:rsidR="008952FE" w:rsidRDefault="008952FE" w:rsidP="008952FE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>Junto con la tarjeta se dará al beneficiario una guía técnica para la autoconstrucción de vivienda.</w:t>
      </w:r>
    </w:p>
    <w:p w14:paraId="44125256" w14:textId="77777777" w:rsidR="008952FE" w:rsidRDefault="008952FE" w:rsidP="008952FE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Se le preguntará al beneficiario si requiere asistencia técnica, de ser así se le recomendará uno de la lista de los que ya están registrados en los padrones. </w:t>
      </w:r>
    </w:p>
    <w:p w14:paraId="0DED8AFB" w14:textId="77777777" w:rsidR="00FB0858" w:rsidRDefault="00FB0858" w:rsidP="008952FE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El proceso de ejecución comienza una vez que el beneficiario tiene el subsidio en su cuenta. </w:t>
      </w:r>
    </w:p>
    <w:p w14:paraId="6CF97B93" w14:textId="77777777" w:rsidR="00FB0858" w:rsidRDefault="00FB0858" w:rsidP="008952FE">
      <w:pPr>
        <w:pStyle w:val="Prrafodelista"/>
        <w:numPr>
          <w:ilvl w:val="1"/>
          <w:numId w:val="13"/>
        </w:numPr>
        <w:jc w:val="both"/>
        <w:rPr>
          <w:rFonts w:ascii="Segoe UI Historic" w:eastAsia="Hiragino Sans GB W3" w:hAnsi="Segoe UI Historic" w:cs="Segoe UI Historic"/>
          <w:lang w:eastAsia="en-US"/>
        </w:rPr>
      </w:pPr>
      <w:r>
        <w:rPr>
          <w:rFonts w:ascii="Segoe UI Historic" w:eastAsia="Hiragino Sans GB W3" w:hAnsi="Segoe UI Historic" w:cs="Segoe UI Historic"/>
          <w:lang w:eastAsia="en-US"/>
        </w:rPr>
        <w:t xml:space="preserve">Habrá verificaciones periódicas y seguimiento y appoyo al proceso por parte del gobierno. </w:t>
      </w:r>
    </w:p>
    <w:p w14:paraId="3A069FAD" w14:textId="77777777" w:rsidR="003E42D7" w:rsidRPr="003E42D7" w:rsidRDefault="003E42D7" w:rsidP="003E42D7">
      <w:pPr>
        <w:jc w:val="both"/>
        <w:rPr>
          <w:rFonts w:ascii="Segoe UI Historic" w:eastAsia="Hiragino Sans GB W3" w:hAnsi="Segoe UI Historic" w:cs="Segoe UI Historic"/>
          <w:lang w:eastAsia="en-US"/>
        </w:rPr>
      </w:pPr>
    </w:p>
    <w:p w14:paraId="2B2891A1" w14:textId="77777777" w:rsidR="003E42D7" w:rsidRPr="009B6D8A" w:rsidRDefault="003E42D7" w:rsidP="003E42D7">
      <w:pPr>
        <w:pStyle w:val="Prrafodelista"/>
        <w:ind w:left="783"/>
        <w:jc w:val="both"/>
        <w:rPr>
          <w:rFonts w:ascii="Segoe UI Historic" w:eastAsia="Hiragino Sans GB W3" w:hAnsi="Segoe UI Historic" w:cs="Segoe UI Historic"/>
          <w:lang w:eastAsia="en-US"/>
        </w:rPr>
      </w:pPr>
    </w:p>
    <w:sectPr w:rsidR="003E42D7" w:rsidRPr="009B6D8A" w:rsidSect="007732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FE51" w14:textId="77777777" w:rsidR="00B1407D" w:rsidRDefault="00B1407D" w:rsidP="00860B3A">
      <w:r>
        <w:separator/>
      </w:r>
    </w:p>
  </w:endnote>
  <w:endnote w:type="continuationSeparator" w:id="0">
    <w:p w14:paraId="5BCB5520" w14:textId="77777777" w:rsidR="00B1407D" w:rsidRDefault="00B1407D" w:rsidP="0086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iragino Sans GB W3">
    <w:charset w:val="80"/>
    <w:family w:val="swiss"/>
    <w:pitch w:val="variable"/>
    <w:sig w:usb0="A00002BF" w:usb1="1ACF7CFA" w:usb2="00000016" w:usb3="00000000" w:csb0="0006000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94FD1" w14:textId="77777777" w:rsidR="00B1407D" w:rsidRDefault="00B1407D" w:rsidP="00860B3A">
      <w:r>
        <w:separator/>
      </w:r>
    </w:p>
  </w:footnote>
  <w:footnote w:type="continuationSeparator" w:id="0">
    <w:p w14:paraId="6192259E" w14:textId="77777777" w:rsidR="00B1407D" w:rsidRDefault="00B1407D" w:rsidP="0086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2736" w14:textId="77777777" w:rsidR="00860B3A" w:rsidRDefault="00860B3A">
    <w:pPr>
      <w:pStyle w:val="Encabezado"/>
    </w:pPr>
    <w:r>
      <w:rPr>
        <w:rFonts w:eastAsia="Montserrat" w:cs="Montserrat"/>
        <w:noProof/>
        <w:color w:val="000000"/>
        <w:lang w:eastAsia="es-MX"/>
      </w:rPr>
      <w:drawing>
        <wp:anchor distT="0" distB="0" distL="114300" distR="114300" simplePos="0" relativeHeight="251659264" behindDoc="0" locked="0" layoutInCell="1" allowOverlap="1" wp14:anchorId="016D21D9" wp14:editId="52B82C64">
          <wp:simplePos x="0" y="0"/>
          <wp:positionH relativeFrom="page">
            <wp:posOffset>1165860</wp:posOffset>
          </wp:positionH>
          <wp:positionV relativeFrom="paragraph">
            <wp:posOffset>-315595</wp:posOffset>
          </wp:positionV>
          <wp:extent cx="5486400" cy="827405"/>
          <wp:effectExtent l="0" t="0" r="0" b="0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curs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1B3"/>
    <w:multiLevelType w:val="hybridMultilevel"/>
    <w:tmpl w:val="FC2605E2"/>
    <w:lvl w:ilvl="0" w:tplc="808C08B8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77D734F"/>
    <w:multiLevelType w:val="hybridMultilevel"/>
    <w:tmpl w:val="FC8E9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7AED"/>
    <w:multiLevelType w:val="multilevel"/>
    <w:tmpl w:val="586E0268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9F331CF"/>
    <w:multiLevelType w:val="hybridMultilevel"/>
    <w:tmpl w:val="F65E2F0C"/>
    <w:lvl w:ilvl="0" w:tplc="FBE648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7EDA"/>
    <w:multiLevelType w:val="hybridMultilevel"/>
    <w:tmpl w:val="253019B0"/>
    <w:lvl w:ilvl="0" w:tplc="2AA421F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1FB3620"/>
    <w:multiLevelType w:val="multilevel"/>
    <w:tmpl w:val="7C3680C0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22D225A"/>
    <w:multiLevelType w:val="multilevel"/>
    <w:tmpl w:val="206293AA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D4966FF"/>
    <w:multiLevelType w:val="multilevel"/>
    <w:tmpl w:val="B0CAC48C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6660BEB"/>
    <w:multiLevelType w:val="multilevel"/>
    <w:tmpl w:val="FC2605E2"/>
    <w:lvl w:ilvl="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69B60BE"/>
    <w:multiLevelType w:val="multilevel"/>
    <w:tmpl w:val="10AE60FE"/>
    <w:lvl w:ilvl="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5E3601B5"/>
    <w:multiLevelType w:val="hybridMultilevel"/>
    <w:tmpl w:val="7D1E64C0"/>
    <w:lvl w:ilvl="0" w:tplc="808C08B8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364A"/>
    <w:multiLevelType w:val="multilevel"/>
    <w:tmpl w:val="20C0C90E"/>
    <w:lvl w:ilvl="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64FD19CA"/>
    <w:multiLevelType w:val="hybridMultilevel"/>
    <w:tmpl w:val="00B802B6"/>
    <w:lvl w:ilvl="0" w:tplc="080A000F">
      <w:start w:val="1"/>
      <w:numFmt w:val="decimal"/>
      <w:lvlText w:val="%1."/>
      <w:lvlJc w:val="left"/>
      <w:pPr>
        <w:ind w:left="783" w:hanging="360"/>
      </w:p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3A"/>
    <w:rsid w:val="000078C1"/>
    <w:rsid w:val="0003639E"/>
    <w:rsid w:val="00061C14"/>
    <w:rsid w:val="000B44CE"/>
    <w:rsid w:val="000B7F0F"/>
    <w:rsid w:val="000D0F12"/>
    <w:rsid w:val="00114405"/>
    <w:rsid w:val="00114EB7"/>
    <w:rsid w:val="00131756"/>
    <w:rsid w:val="00143979"/>
    <w:rsid w:val="00146528"/>
    <w:rsid w:val="00175E63"/>
    <w:rsid w:val="001914BA"/>
    <w:rsid w:val="001C2F16"/>
    <w:rsid w:val="001D1465"/>
    <w:rsid w:val="00291045"/>
    <w:rsid w:val="002F6BAD"/>
    <w:rsid w:val="003276E8"/>
    <w:rsid w:val="003B04E8"/>
    <w:rsid w:val="003D6D32"/>
    <w:rsid w:val="003E42D7"/>
    <w:rsid w:val="0040288B"/>
    <w:rsid w:val="00416180"/>
    <w:rsid w:val="004569AC"/>
    <w:rsid w:val="00464960"/>
    <w:rsid w:val="00487CC5"/>
    <w:rsid w:val="004F726D"/>
    <w:rsid w:val="00524D32"/>
    <w:rsid w:val="00560AC4"/>
    <w:rsid w:val="005B292A"/>
    <w:rsid w:val="005F15D4"/>
    <w:rsid w:val="006949E1"/>
    <w:rsid w:val="00773227"/>
    <w:rsid w:val="00790FD0"/>
    <w:rsid w:val="007C4069"/>
    <w:rsid w:val="007D18D7"/>
    <w:rsid w:val="007F7CE0"/>
    <w:rsid w:val="00817764"/>
    <w:rsid w:val="00860B3A"/>
    <w:rsid w:val="0087330F"/>
    <w:rsid w:val="00876150"/>
    <w:rsid w:val="008812CD"/>
    <w:rsid w:val="008952FE"/>
    <w:rsid w:val="008F0461"/>
    <w:rsid w:val="00960F64"/>
    <w:rsid w:val="00963536"/>
    <w:rsid w:val="009851B6"/>
    <w:rsid w:val="00990670"/>
    <w:rsid w:val="009A743B"/>
    <w:rsid w:val="009B6D8A"/>
    <w:rsid w:val="009E2934"/>
    <w:rsid w:val="009F4B13"/>
    <w:rsid w:val="00A304FB"/>
    <w:rsid w:val="00AB0A2A"/>
    <w:rsid w:val="00AC2AF7"/>
    <w:rsid w:val="00AC31E2"/>
    <w:rsid w:val="00B1407D"/>
    <w:rsid w:val="00B200A0"/>
    <w:rsid w:val="00B269B0"/>
    <w:rsid w:val="00B3328F"/>
    <w:rsid w:val="00B40DE6"/>
    <w:rsid w:val="00B7501B"/>
    <w:rsid w:val="00C11EB2"/>
    <w:rsid w:val="00C15C6F"/>
    <w:rsid w:val="00C21751"/>
    <w:rsid w:val="00C4798E"/>
    <w:rsid w:val="00C525C6"/>
    <w:rsid w:val="00CF6A2A"/>
    <w:rsid w:val="00D0300B"/>
    <w:rsid w:val="00D467CF"/>
    <w:rsid w:val="00D54F1E"/>
    <w:rsid w:val="00DC709F"/>
    <w:rsid w:val="00E33C2D"/>
    <w:rsid w:val="00F560AC"/>
    <w:rsid w:val="00F84609"/>
    <w:rsid w:val="00F92127"/>
    <w:rsid w:val="00FA0C8E"/>
    <w:rsid w:val="00FB0858"/>
    <w:rsid w:val="00FC7877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8D60"/>
  <w15:chartTrackingRefBased/>
  <w15:docId w15:val="{DA329197-4A19-824D-AC9A-0719FC5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0B3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B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B3A"/>
  </w:style>
  <w:style w:type="paragraph" w:styleId="Piedepgina">
    <w:name w:val="footer"/>
    <w:basedOn w:val="Normal"/>
    <w:link w:val="PiedepginaCar"/>
    <w:uiPriority w:val="99"/>
    <w:unhideWhenUsed/>
    <w:rsid w:val="00860B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B3A"/>
  </w:style>
  <w:style w:type="character" w:customStyle="1" w:styleId="Ttulo1Car">
    <w:name w:val="Título 1 Car"/>
    <w:basedOn w:val="Fuentedeprrafopredeter"/>
    <w:link w:val="Ttulo1"/>
    <w:uiPriority w:val="9"/>
    <w:rsid w:val="00860B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 w:eastAsia="en-US"/>
    </w:rPr>
  </w:style>
  <w:style w:type="paragraph" w:styleId="Prrafodelista">
    <w:name w:val="List Paragraph"/>
    <w:basedOn w:val="Normal"/>
    <w:uiPriority w:val="34"/>
    <w:qFormat/>
    <w:rsid w:val="001439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Rocio Rodriguez</cp:lastModifiedBy>
  <cp:revision>2</cp:revision>
  <dcterms:created xsi:type="dcterms:W3CDTF">2020-05-20T16:13:00Z</dcterms:created>
  <dcterms:modified xsi:type="dcterms:W3CDTF">2020-05-20T16:13:00Z</dcterms:modified>
</cp:coreProperties>
</file>